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fonts/font26.odttf" ContentType="application/vnd.openxmlformats-officedocument.obfuscatedFont"/>
  <Override PartName="/word/fonts/font27.odttf" ContentType="application/vnd.openxmlformats-officedocument.obfuscatedFont"/>
  <Override PartName="/word/fonts/font28.odttf" ContentType="application/vnd.openxmlformats-officedocument.obfuscatedFont"/>
  <Override PartName="/word/fonts/font29.odttf" ContentType="application/vnd.openxmlformats-officedocument.obfuscatedFont"/>
  <Override PartName="/word/fonts/font30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"/>
        <w:tblW w:w="11199" w:type="dxa"/>
        <w:jc w:val="left"/>
        <w:tblInd w:w="-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1199"/>
      </w:tblGrid>
      <w:tr>
        <w:trPr>
          <w:trHeight w:val="502" w:hRule="atLeast"/>
        </w:trPr>
        <w:tc>
          <w:tcPr>
            <w:tcW w:w="1119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lang w:val="pt-BR" w:eastAsia="pt-BR" w:bidi="ar-SA"/>
              </w:rPr>
            </w:pPr>
            <w:r>
              <w:rPr>
                <w:lang w:val="pt-BR" w:eastAsia="pt-BR" w:bidi="ar-SA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Palatino Linotype" w:hAnsi="Palatino Linotype" w:eastAsia="Palatino Linotype" w:cs="Palatino Linotype"/>
                <w:b/>
                <w:i/>
                <w:i/>
                <w:sz w:val="20"/>
                <w:szCs w:val="20"/>
                <w:lang w:val="pt-BR" w:eastAsia="pt-BR" w:bidi="ar-SA"/>
              </w:rPr>
            </w:pPr>
            <w:r>
              <w:rPr>
                <w:rFonts w:eastAsia="Palatino Linotype" w:cs="Palatino Linotype" w:ascii="Palatino Linotype" w:hAnsi="Palatino Linotype"/>
                <w:b/>
                <w:i/>
                <w:sz w:val="20"/>
                <w:szCs w:val="20"/>
                <w:lang w:val="pt-BR" w:eastAsia="pt-BR" w:bidi="ar-SA"/>
              </w:rPr>
            </w:r>
          </w:p>
        </w:tc>
      </w:tr>
      <w:tr>
        <w:trPr>
          <w:trHeight w:val="705" w:hRule="atLeast"/>
        </w:trPr>
        <w:tc>
          <w:tcPr>
            <w:tcW w:w="11199" w:type="dxa"/>
            <w:tcBorders/>
          </w:tcPr>
          <w:p>
            <w:pPr>
              <w:pStyle w:val="Heading1"/>
              <w:spacing w:lineRule="auto" w:line="240" w:before="0" w:after="0"/>
              <w:jc w:val="center"/>
              <w:rPr/>
            </w:pPr>
            <w:bookmarkStart w:id="0" w:name="_Toc199843355"/>
            <w:bookmarkStart w:id="1" w:name="_65c9ub8w0qlj"/>
            <w:bookmarkEnd w:id="1"/>
            <w:r>
              <w:rPr>
                <w:rFonts w:ascii="Palatino Linotype" w:hAnsi="Palatino Linotype"/>
                <w:i/>
                <w:iCs/>
                <w:sz w:val="28"/>
                <w:szCs w:val="28"/>
              </w:rPr>
              <w:t>GRUPO RENASCER: TERAPIA EM GRUPO COMO ESTRATÉGIA PARA CUIDADO EM SAÚDE MENTAL</w:t>
            </w:r>
            <w:bookmarkEnd w:id="0"/>
          </w:p>
        </w:tc>
      </w:tr>
      <w:tr>
        <w:trPr>
          <w:trHeight w:val="278" w:hRule="atLeast"/>
        </w:trPr>
        <w:tc>
          <w:tcPr>
            <w:tcW w:w="1119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Palatino Linotype" w:hAnsi="Palatino Linotype" w:eastAsia="Palatino Linotype" w:cs="Palatino Linotype"/>
                <w:b/>
                <w:sz w:val="28"/>
                <w:szCs w:val="28"/>
                <w:lang w:val="pt-BR" w:eastAsia="pt-BR" w:bidi="ar-SA"/>
              </w:rPr>
            </w:pPr>
            <w:r>
              <w:rPr>
                <w:rFonts w:eastAsia="Palatino Linotype" w:cs="Palatino Linotype" w:ascii="Palatino Linotype" w:hAnsi="Palatino Linotype"/>
                <w:b/>
                <w:sz w:val="28"/>
                <w:szCs w:val="28"/>
                <w:lang w:val="pt-BR" w:eastAsia="pt-BR" w:bidi="ar-SA"/>
              </w:rPr>
            </w:r>
          </w:p>
        </w:tc>
      </w:tr>
      <w:tr>
        <w:trPr>
          <w:trHeight w:val="278" w:hRule="atLeast"/>
        </w:trPr>
        <w:tc>
          <w:tcPr>
            <w:tcW w:w="11199" w:type="dxa"/>
            <w:tcBorders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Times New Roman" w:cs="Times New Roman" w:ascii="Palatino Linotype" w:hAnsi="Palatino Linotype"/>
                <w:sz w:val="18"/>
                <w:szCs w:val="18"/>
              </w:rPr>
              <w:t xml:space="preserve">Allysson José Alves De Lima , </w:t>
            </w:r>
            <w:r>
              <w:rPr>
                <w:rFonts w:eastAsia="Times New Roman" w:cs="Times New Roman" w:ascii="Palatino Linotype" w:hAnsi="Palatino Linotype"/>
                <w:sz w:val="18"/>
                <w:szCs w:val="18"/>
              </w:rPr>
              <w:t xml:space="preserve">(allyssonjal@gmail.com) - </w:t>
            </w:r>
            <w:r>
              <w:rPr>
                <w:rFonts w:eastAsia="Times New Roman" w:cs="Times New Roman" w:ascii="Palatino Linotype" w:hAnsi="Palatino Linotype"/>
                <w:sz w:val="18"/>
                <w:szCs w:val="18"/>
              </w:rPr>
              <w:t>Hospital Universitário Professor Alberto Antunes;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Times New Roman" w:cs="Times New Roman" w:ascii="Palatino Linotype" w:hAnsi="Palatino Linotype"/>
                <w:sz w:val="18"/>
                <w:szCs w:val="18"/>
              </w:rPr>
              <w:t>Vitória Paulo Simplício - Secretaria Municipal de Saúde de Maceió;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Times New Roman" w:cs="Times New Roman" w:ascii="Palatino Linotype" w:hAnsi="Palatino Linotype"/>
                <w:sz w:val="18"/>
                <w:szCs w:val="18"/>
              </w:rPr>
              <w:t>Victor Emanoel Rosa Da Silva - Universidade Federal de Alagoas;</w:t>
            </w:r>
          </w:p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Times New Roman" w:ascii="Palatino Linotype" w:hAnsi="Palatino Linotype"/>
                <w:sz w:val="18"/>
                <w:szCs w:val="18"/>
              </w:rPr>
              <w:t>Allycia Maria Alves de Lima - Universidade Maurício de Nassau.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Palatino Linotype" w:hAnsi="Palatino Linotype" w:eastAsia="Palatino Linotype" w:cs="Palatino Linotype"/>
          <w:color w:val="000000"/>
          <w:sz w:val="24"/>
          <w:szCs w:val="24"/>
          <w:vertAlign w:val="superscript"/>
          <w:lang w:val="pt-BR" w:eastAsia="pt-BR" w:bidi="ar-SA"/>
        </w:rPr>
      </w:pPr>
      <w:r>
        <w:rPr>
          <w:rFonts w:eastAsia="Palatino Linotype" w:cs="Palatino Linotype" w:ascii="Palatino Linotype" w:hAnsi="Palatino Linotype"/>
          <w:color w:val="000000"/>
          <w:sz w:val="24"/>
          <w:szCs w:val="24"/>
          <w:vertAlign w:val="superscript"/>
          <w:lang w:val="pt-BR" w:eastAsia="pt-BR" w:bidi="ar-SA"/>
        </w:rPr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  <w:b/>
          <w:bCs/>
        </w:rPr>
        <w:t>PALAVRAS-CHAVE:</w:t>
      </w:r>
      <w:r>
        <w:rPr>
          <w:rFonts w:eastAsia="Times New Roman" w:cs="Times New Roman" w:ascii="Palatino Linotype" w:hAnsi="Palatino Linotype"/>
        </w:rPr>
        <w:t xml:space="preserve"> Atenção Primária à Saúde; Saúde Mental; Terapia Comunitária Integrativa.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  <w:b/>
          <w:bCs/>
        </w:rPr>
        <w:t>I</w:t>
      </w:r>
      <w:r>
        <w:rPr>
          <w:rFonts w:eastAsia="Times New Roman" w:cs="Times New Roman" w:ascii="Palatino Linotype" w:hAnsi="Palatino Linotype"/>
          <w:b/>
          <w:bCs/>
        </w:rPr>
        <w:t>ntrodução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  <w:tab/>
        <w:t xml:space="preserve">O conceito de saúde mental abrange aspectos biopsicossociais que interferem na compreensão do que é uma mente saudável. É um conceito plural e pessoal, com variáveis políticas, sociais e culturais, onde o indivíduo interpreta fatores que modificam sua noção de felicidade e bem-estar, algo comumente prejudicado nos relatos de consultas de acompanhamento pela equipe de saúde (Lancetti, 2006). Nesse sentido, a reunião em grupo dentro da UBS surge como alternativa a abordagem rotineira e individual de cada paciente, potencializando aspectos que não são atingidos em discussões particulares, como a identificação do ser com seu meio social e a interação com outras pessoas em situação semelhante, além de permitir um ambiente mais confortável para esclarecimento de dúvidas e temores (Dias, 2009). Apesar disso, há poucos trabalhos na área discutindo a eficácia dessa metodologia. Este trabalho tem como objetivo relatar a experiência de uma equipe de Atenção Primária com a terapia em grupo para pacientes portadores de doenças relacionadas à saúde mental, como ansiedade, depressão e insônia. 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  <w:b/>
          <w:bCs/>
        </w:rPr>
      </w:pPr>
      <w:r>
        <w:rPr>
          <w:rFonts w:eastAsia="Times New Roman" w:cs="Times New Roman" w:ascii="Palatino Linotype" w:hAnsi="Palatino Linotype"/>
          <w:b/>
          <w:bCs/>
        </w:rPr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  <w:b/>
          <w:bCs/>
        </w:rPr>
      </w:pPr>
      <w:r>
        <w:rPr>
          <w:rFonts w:eastAsia="Times New Roman" w:cs="Times New Roman" w:ascii="Palatino Linotype" w:hAnsi="Palatino Linotype"/>
          <w:b/>
          <w:bCs/>
        </w:rPr>
        <w:t>D</w:t>
      </w:r>
      <w:r>
        <w:rPr>
          <w:rFonts w:eastAsia="Times New Roman" w:cs="Times New Roman" w:ascii="Palatino Linotype" w:hAnsi="Palatino Linotype"/>
          <w:b/>
          <w:bCs/>
        </w:rPr>
        <w:t>escrição do relato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  <w:tab/>
        <w:t>A presença de uma grande quantidade de pacientes com demandas de saúde mental é algo frequente dentro da equipe de Estratégia de saúde da Família (ESF), o que pode levar a uma sobrecarga da demanda espontânea por necessidade de uma escuta ativa. Nesse sentido, foi delineada a estratégia de estabelecer um grupo aberto onde todos pudessem receber a devida atenção de forma mais efetiva. Assim, iniciou-se o Grupo Renascer na UBS Frei Damião, envolvendo uma equipe multiprofissional composta por médicos, psicólogos, enfermeiros, nutricionistas, fisioterapeutas, técnicos de enfermagem e convidados externos. O cronograma contempla encontros quinzenais, compostos por uma rotatividade de 10 pacientes, com faixa etária entre 50-60 anos, dedicados à discussão de diversos aspectos da saúde mental, utilizando metodologia abrangente que inclui palestras sobre o conceito de saúde mental, rodas de conversa sobre higiene do sono e oficinas de empreendedorismo com foco em atividades manuais, como o crochê. Além disso, considerando uma melhor transmissão de informações, as temáticas foram abordadas através de linguagem clara e objetiva, com o intuito de facilitar a compreensão.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  <w:t>Tabela 1 - Cronograma de Reuniões do Grupo Renascer.</w:t>
      </w:r>
    </w:p>
    <w:tbl>
      <w:tblPr>
        <w:tblW w:w="7000" w:type="dxa"/>
        <w:jc w:val="center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001"/>
        <w:gridCol w:w="2387"/>
        <w:gridCol w:w="1591"/>
        <w:gridCol w:w="2020"/>
      </w:tblGrid>
      <w:tr>
        <w:trPr>
          <w:trHeight w:val="283" w:hRule="atLeast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  <w:b/>
              </w:rPr>
            </w:pPr>
            <w:r>
              <w:rPr>
                <w:rFonts w:eastAsia="Times New Roman" w:cs="Times New Roman" w:ascii="Palatino Linotype" w:hAnsi="Palatino Linotype"/>
                <w:b/>
              </w:rPr>
              <w:t>DATA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  <w:b/>
              </w:rPr>
            </w:pPr>
            <w:r>
              <w:rPr>
                <w:rFonts w:eastAsia="Times New Roman" w:cs="Times New Roman" w:ascii="Palatino Linotype" w:hAnsi="Palatino Linotype"/>
                <w:b/>
              </w:rPr>
              <w:t>TEMA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  <w:b/>
              </w:rPr>
            </w:pPr>
            <w:r>
              <w:rPr>
                <w:rFonts w:eastAsia="Times New Roman" w:cs="Times New Roman" w:ascii="Palatino Linotype" w:hAnsi="Palatino Linotype"/>
                <w:b/>
              </w:rPr>
              <w:t>CONDUTOR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  <w:b/>
              </w:rPr>
            </w:pPr>
            <w:r>
              <w:rPr>
                <w:rFonts w:eastAsia="Times New Roman" w:cs="Times New Roman" w:ascii="Palatino Linotype" w:hAnsi="Palatino Linotype"/>
                <w:b/>
              </w:rPr>
              <w:t>METODOLOGIA</w:t>
            </w:r>
          </w:p>
        </w:tc>
      </w:tr>
      <w:tr>
        <w:trPr>
          <w:trHeight w:val="227" w:hRule="atLeast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24/05/24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Saúde Mental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Médico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Apresentação Oral</w:t>
            </w:r>
          </w:p>
        </w:tc>
      </w:tr>
      <w:tr>
        <w:trPr>
          <w:trHeight w:val="283" w:hRule="atLeast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14/06/24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Alimentação Saudável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Nutricionista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Roda de Conversa</w:t>
            </w:r>
          </w:p>
        </w:tc>
      </w:tr>
      <w:tr>
        <w:trPr>
          <w:trHeight w:val="283" w:hRule="atLeast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28/06/24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Práticas Corporais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Fisioterapeuta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Prática</w:t>
            </w:r>
          </w:p>
        </w:tc>
      </w:tr>
      <w:tr>
        <w:trPr>
          <w:trHeight w:val="283" w:hRule="atLeast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12/07/24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Higiene do Sono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Médico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Roda de Conversa</w:t>
            </w:r>
          </w:p>
        </w:tc>
      </w:tr>
      <w:tr>
        <w:trPr>
          <w:trHeight w:val="283" w:hRule="atLeast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26/07/24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Empreendedorismo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Convidado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Oficina</w:t>
            </w:r>
          </w:p>
        </w:tc>
      </w:tr>
      <w:tr>
        <w:trPr>
          <w:trHeight w:val="297" w:hRule="atLeast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09/08/24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Oficina de Crochê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Convidado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200"/>
              <w:jc w:val="center"/>
              <w:rPr>
                <w:rFonts w:ascii="Palatino Linotype" w:hAnsi="Palatino Linotype" w:eastAsia="Times New Roman" w:cs="Times New Roman"/>
              </w:rPr>
            </w:pPr>
            <w:r>
              <w:rPr>
                <w:rFonts w:eastAsia="Times New Roman" w:cs="Times New Roman" w:ascii="Palatino Linotype" w:hAnsi="Palatino Linotype"/>
              </w:rPr>
              <w:t>Oficina</w:t>
            </w:r>
          </w:p>
        </w:tc>
      </w:tr>
    </w:tbl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  <w:t xml:space="preserve">Fonte: Elaborado pelo autor (2024). 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  <w:b/>
          <w:bCs/>
        </w:rPr>
      </w:pPr>
      <w:r>
        <w:rPr>
          <w:rFonts w:eastAsia="Times New Roman" w:cs="Times New Roman" w:ascii="Palatino Linotype" w:hAnsi="Palatino Linotype"/>
          <w:b/>
          <w:bCs/>
        </w:rPr>
        <w:t>D</w:t>
      </w:r>
      <w:r>
        <w:rPr>
          <w:rFonts w:eastAsia="Times New Roman" w:cs="Times New Roman" w:ascii="Palatino Linotype" w:hAnsi="Palatino Linotype"/>
          <w:b/>
          <w:bCs/>
        </w:rPr>
        <w:t>iscussão</w:t>
        <w:tab/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  <w:tab/>
        <w:t>A atenção básica executa um grande papel no manejo da saúde mental, sendo uma ferramenta indispensável no objetivo de se afastar do modelo hospitalocêntrico e ampliar o projeto antimanicomial. Apesar disso, há pouca unanimidade em relação a sua execução, com a possibilidade de uso de diferentes ferramentas, como a visita domiciliar e a terapia em grupo (Correia, 2011). Os propósitos fundamentais, das atividades em grupo na Atenção Primária à Saúde, no entanto, estão bem definidos e incluem promoção e educação em saúde, prevenção de doenças e agravos e atenção curativa (Brasil, 2010). Na escolha da terapia em grupo como ferramenta, foram encontrados resultados positivos no relato dos pacientes acerca de seus sintomas e de suas concepções de qualidade de vida, diminuindo a necessidade de consultas em excesso e proporcionando uma melhor aceitação de suas condições de saúde ao se enxergar no outro. Entretanto, apesar de possuir um objetivo em comum, torna-se necessário levar em consideração a individualidade, o que não exclui a necessidade de consultas médicas em outros momentos.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  <w:b/>
          <w:bCs/>
        </w:rPr>
      </w:pPr>
      <w:r>
        <w:rPr>
          <w:rFonts w:eastAsia="Times New Roman" w:cs="Times New Roman" w:ascii="Palatino Linotype" w:hAnsi="Palatino Linotype"/>
          <w:b/>
          <w:bCs/>
        </w:rPr>
        <w:t>C</w:t>
      </w:r>
      <w:r>
        <w:rPr>
          <w:rFonts w:eastAsia="Times New Roman" w:cs="Times New Roman" w:ascii="Palatino Linotype" w:hAnsi="Palatino Linotype"/>
          <w:b/>
          <w:bCs/>
        </w:rPr>
        <w:t>onclusão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  <w:tab/>
        <w:t>Ao desenvolver esse trabalho, nota-se a importância de executar ações que coloquem em prática a teórica importância da atenção primária no manejo da saúde mental populacional. Mesmo em estágio inicial e com grande potencial de evolução, o Grupo Renascer traz relatos estimulantes, com melhora da qualidade do sono, controle de sintomas ansiosos, sensação de bem-estar, pertencimento, além de utilidade dentro do meio social. Espera-se, com o ganho de novos integrantes e experiências, que o impacto se torne ainda maior, atingindo a noção de mente saudável em um maior número de pessoas e de maneira eficaz, não como substituição à consulta médica, mas como ferramenta auxiliar no tratamento conjunto.</w:t>
      </w:r>
    </w:p>
    <w:p>
      <w:pPr>
        <w:pStyle w:val="Normal"/>
        <w:spacing w:lineRule="auto" w:line="360" w:before="0" w:after="200"/>
        <w:jc w:val="both"/>
        <w:rPr>
          <w:rFonts w:ascii="Palatino Linotype" w:hAnsi="Palatino Linotype" w:eastAsia="Times New Roman" w:cs="Times New Roman"/>
        </w:rPr>
      </w:pPr>
      <w:r>
        <w:rPr>
          <w:rFonts w:eastAsia="Times New Roman" w:cs="Times New Roman" w:ascii="Palatino Linotype" w:hAnsi="Palatino Linotype"/>
        </w:rPr>
      </w:r>
    </w:p>
    <w:p>
      <w:pPr>
        <w:pStyle w:val="Normal"/>
        <w:spacing w:lineRule="auto" w:line="360" w:before="0" w:after="200"/>
        <w:jc w:val="both"/>
        <w:rPr>
          <w:b/>
          <w:bCs/>
        </w:rPr>
      </w:pPr>
      <w:r>
        <w:rPr>
          <w:rFonts w:eastAsia="Times New Roman" w:cs="Times New Roman" w:ascii="Palatino Linotype" w:hAnsi="Palatino Linotype"/>
          <w:b/>
          <w:bCs/>
        </w:rPr>
        <w:t>R</w:t>
      </w:r>
      <w:r>
        <w:rPr>
          <w:rFonts w:eastAsia="Times New Roman" w:cs="Times New Roman" w:ascii="Palatino Linotype" w:hAnsi="Palatino Linotype"/>
          <w:b/>
          <w:bCs/>
        </w:rPr>
        <w:t>eferências</w:t>
      </w:r>
    </w:p>
    <w:p>
      <w:pPr>
        <w:pStyle w:val="Normal"/>
        <w:spacing w:lineRule="auto" w:line="240" w:before="0" w:after="200"/>
        <w:rPr/>
      </w:pPr>
      <w:r>
        <w:rPr>
          <w:rFonts w:eastAsia="Times New Roman" w:cs="Times New Roman" w:ascii="Palatino Linotype" w:hAnsi="Palatino Linotype"/>
          <w:sz w:val="18"/>
          <w:szCs w:val="18"/>
        </w:rPr>
        <w:t xml:space="preserve">BRASIL. Ministério da Saúde. Secretaria de Atenção à Saúde. Política Nacional de Humanização, Secretaria de Atenção à Saúde, Política Nacional de Humanização. Brasília: Ministério da Saúde, 2010. </w:t>
      </w:r>
    </w:p>
    <w:p>
      <w:pPr>
        <w:pStyle w:val="Normal"/>
        <w:spacing w:lineRule="auto" w:line="240" w:before="0" w:after="200"/>
        <w:rPr/>
      </w:pPr>
      <w:r>
        <w:rPr>
          <w:rFonts w:eastAsia="Times New Roman" w:cs="Times New Roman" w:ascii="Palatino Linotype" w:hAnsi="Palatino Linotype"/>
          <w:sz w:val="18"/>
          <w:szCs w:val="18"/>
        </w:rPr>
        <w:t>CORREIA, Valmir Rycheta; BARROS, Sônia; COLVERO, Luciana de Almeida. Saúde mental na atenção básica: prática da equipe de saúde da família. Revista da Escola de Enfermagem da USP, v. 45, p. 1501-1506, 2011.</w:t>
      </w:r>
    </w:p>
    <w:p>
      <w:pPr>
        <w:pStyle w:val="Normal"/>
        <w:spacing w:lineRule="auto" w:line="240" w:before="0" w:after="200"/>
        <w:rPr/>
      </w:pPr>
      <w:r>
        <w:rPr>
          <w:rFonts w:eastAsia="Times New Roman" w:cs="Times New Roman" w:ascii="Palatino Linotype" w:hAnsi="Palatino Linotype"/>
          <w:sz w:val="18"/>
          <w:szCs w:val="18"/>
        </w:rPr>
        <w:t>DIAS, Valesca Pastore; SILVEIRA, Denise Tolfo; WITT, Regina Rigatto. Educação em saúde: protocolo para o trabalho de grupos em Atenção Primária à Saúde. Revista de APS, v. 12, n. 2, 2009.</w:t>
      </w:r>
    </w:p>
    <w:p>
      <w:pPr>
        <w:pStyle w:val="Normal"/>
        <w:spacing w:lineRule="auto" w:line="240" w:before="0" w:after="200"/>
        <w:rPr/>
      </w:pPr>
      <w:r>
        <w:rPr>
          <w:rFonts w:eastAsia="Times New Roman" w:cs="Times New Roman" w:ascii="Palatino Linotype" w:hAnsi="Palatino Linotype"/>
          <w:sz w:val="18"/>
          <w:szCs w:val="18"/>
          <w:highlight w:val="white"/>
        </w:rPr>
        <w:t>LANCETTI, Antônio; AMARANTE, Paulo. Saúde mental e saúde coletiva. Tratado de saúde coletiva, v. 2, p. 615-34, 2006.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70" w:right="561" w:gutter="0" w:header="567" w:top="1418" w:footer="709" w:bottom="1134"/>
      <w:pgNumType w:start="1"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ambr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  <w:embedRegular r:id="rId18" w:fontKey="{12014A78-CABC-4EF0-12AC-5CD89AEFDE12}"/>
  </w:font>
  <w:font w:name="Liberation Sans">
    <w:altName w:val="Arial"/>
    <w:charset w:val="00"/>
    <w:family w:val="swiss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Times">
    <w:altName w:val="Times New Roman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23" w:fontKey="{17014A78-CABC-4EF0-12AC-5CD89AEFDE17}"/>
    <w:embedBold r:id="rId24" w:fontKey="{18014A78-CABC-4EF0-12AC-5CD89AEFDE18}"/>
    <w:embedItalic r:id="rId25" w:fontKey="{19014A78-CABC-4EF0-12AC-5CD89AEFDE19}"/>
    <w:embedBoldItalic r:id="rId26" w:fontKey="{1A014A78-CABC-4EF0-12AC-5CD89AEFDE1A}"/>
  </w:font>
  <w:font w:name="Palatino Linotype">
    <w:charset w:val="00"/>
    <w:family w:val="roman"/>
    <w:pitch w:val="variable"/>
    <w:embedRegular r:id="rId27" w:fontKey="{1B014A78-CABC-4EF0-12AC-5CD89AEFDE1B}"/>
    <w:embedBold r:id="rId28" w:fontKey="{1C014A78-CABC-4EF0-12AC-5CD89AEFDE1C}"/>
    <w:embedItalic r:id="rId29" w:fontKey="{1D014A78-CABC-4EF0-12AC-5CD89AEFDE1D}"/>
    <w:embedBoldItalic r:id="rId30" w:fontKey="{1E014A78-CABC-4EF0-12AC-5CD89AEFDE1E}"/>
  </w:font>
  <w:font w:name="Palatino Linotype">
    <w:charset w:val="01"/>
    <w:family w:val="roman"/>
    <w:pitch w:val="variable"/>
    <w:embedRegular r:id="rId27" w:fontKey="{1B014A78-CABC-4EF0-12AC-5CD89AEFDE1B}"/>
    <w:embedBold r:id="rId28" w:fontKey="{1C014A78-CABC-4EF0-12AC-5CD89AEFDE1C}"/>
    <w:embedItalic r:id="rId29" w:fontKey="{1D014A78-CABC-4EF0-12AC-5CD89AEFDE1D}"/>
    <w:embedBoldItalic r:id="rId30" w:fontKey="{1E014A78-CABC-4EF0-12AC-5CD89AEFDE1E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auto" w:line="240" w:before="0" w:after="0"/>
      <w:ind w:left="-1134"/>
      <w:jc w:val="center"/>
      <w:rPr>
        <w:rFonts w:ascii="Palatino Linotype" w:hAnsi="Palatino Linotype" w:eastAsia="Palatino Linotype" w:cs="Palatino Linotype"/>
        <w:b/>
        <w:color w:val="000000"/>
        <w:sz w:val="20"/>
        <w:szCs w:val="20"/>
      </w:rPr>
    </w:pPr>
    <w:r>
      <w:rPr>
        <w:rFonts w:eastAsia="Palatino Linotype" w:cs="Palatino Linotype" w:ascii="Palatino Linotype" w:hAnsi="Palatino Linotype"/>
        <w:b/>
        <w:color w:val="000000"/>
        <w:sz w:val="20"/>
        <w:szCs w:val="20"/>
      </w:rPr>
      <w:t xml:space="preserve">Revista Portal – Saúde e Sociedade </w:t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-851"/>
      <w:jc w:val="center"/>
      <w:rPr>
        <w:color w:val="000000"/>
        <w:sz w:val="21"/>
        <w:szCs w:val="21"/>
      </w:rPr>
    </w:pPr>
    <w:r>
      <w:drawing>
        <wp:anchor behindDoc="1" distT="0" distB="0" distL="114300" distR="0" simplePos="0" locked="0" layoutInCell="0" allowOverlap="1" relativeHeight="35">
          <wp:simplePos x="0" y="0"/>
          <wp:positionH relativeFrom="margin">
            <wp:align>right</wp:align>
          </wp:positionH>
          <wp:positionV relativeFrom="paragraph">
            <wp:posOffset>13335</wp:posOffset>
          </wp:positionV>
          <wp:extent cx="959485" cy="299085"/>
          <wp:effectExtent l="0" t="0" r="0" b="0"/>
          <wp:wrapSquare wrapText="bothSides"/>
          <wp:docPr id="5" name="image7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7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99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drawing>
        <wp:inline distT="0" distB="0" distL="0" distR="0">
          <wp:extent cx="624840" cy="335280"/>
          <wp:effectExtent l="0" t="0" r="0" b="0"/>
          <wp:docPr id="6" name="image8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8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1303020" cy="335280"/>
          <wp:effectExtent l="0" t="0" r="0" b="0"/>
          <wp:docPr id="7" name="image6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6.pn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952500" cy="335280"/>
          <wp:effectExtent l="0" t="0" r="0" b="0"/>
          <wp:docPr id="8" name="image5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.pn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838200" cy="335280"/>
          <wp:effectExtent l="0" t="0" r="0" b="0"/>
          <wp:docPr id="9" name="image1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3.png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1051560" cy="335280"/>
          <wp:effectExtent l="0" t="0" r="0" b="0"/>
          <wp:docPr id="10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 descr="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868680" cy="335280"/>
          <wp:effectExtent l="0" t="0" r="0" b="0"/>
          <wp:docPr id="11" name="image9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9.png" descr="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lineRule="auto" w:line="240" w:before="0" w:after="0"/>
      <w:ind w:left="-1134"/>
      <w:jc w:val="center"/>
      <w:rPr>
        <w:rFonts w:ascii="Palatino Linotype" w:hAnsi="Palatino Linotype" w:eastAsia="Palatino Linotype" w:cs="Palatino Linotype"/>
        <w:b/>
        <w:color w:val="000000"/>
        <w:sz w:val="20"/>
        <w:szCs w:val="20"/>
      </w:rPr>
    </w:pPr>
    <w:r>
      <w:drawing>
        <wp:anchor behindDoc="1" distT="0" distB="0" distL="114300" distR="114300" simplePos="0" locked="0" layoutInCell="0" allowOverlap="1" relativeHeight="32">
          <wp:simplePos x="0" y="0"/>
          <wp:positionH relativeFrom="column">
            <wp:posOffset>5814695</wp:posOffset>
          </wp:positionH>
          <wp:positionV relativeFrom="paragraph">
            <wp:posOffset>156210</wp:posOffset>
          </wp:positionV>
          <wp:extent cx="767715" cy="346075"/>
          <wp:effectExtent l="0" t="0" r="0" b="0"/>
          <wp:wrapSquare wrapText="bothSides"/>
          <wp:docPr id="1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7715" cy="346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Palatino Linotype" w:cs="Palatino Linotype" w:ascii="Palatino Linotype" w:hAnsi="Palatino Linotype"/>
        <w:b/>
        <w:color w:val="000000"/>
        <w:sz w:val="20"/>
        <w:szCs w:val="20"/>
      </w:rPr>
      <w:t xml:space="preserve">Revista Portal – Saúde e Sociedade </w:t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-851"/>
      <w:jc w:val="center"/>
      <w:rPr>
        <w:color w:val="000000"/>
        <w:sz w:val="21"/>
        <w:szCs w:val="21"/>
      </w:rPr>
    </w:pPr>
    <w:r>
      <w:rPr/>
      <w:drawing>
        <wp:inline distT="0" distB="0" distL="0" distR="0">
          <wp:extent cx="1016635" cy="335280"/>
          <wp:effectExtent l="0" t="0" r="0" b="0"/>
          <wp:docPr id="1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igura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1117600" cy="335280"/>
          <wp:effectExtent l="0" t="0" r="0" b="0"/>
          <wp:docPr id="14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Figura4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952500" cy="335280"/>
          <wp:effectExtent l="0" t="0" r="0" b="0"/>
          <wp:docPr id="15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igura5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838200" cy="335280"/>
          <wp:effectExtent l="0" t="0" r="0" b="0"/>
          <wp:docPr id="16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igura6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1051560" cy="335280"/>
          <wp:effectExtent l="0" t="0" r="0" b="0"/>
          <wp:docPr id="17" name="Figura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Figura7" descr="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647700" cy="335280"/>
          <wp:effectExtent l="0" t="0" r="0" b="0"/>
          <wp:docPr id="18" name="Figura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Figura8" descr="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right"/>
      <w:rPr>
        <w:rFonts w:ascii="Palatino Linotype" w:hAnsi="Palatino Linotype" w:eastAsia="Palatino Linotype" w:cs="Palatino Linotype"/>
        <w:b/>
        <w:color w:val="000000"/>
        <w:sz w:val="16"/>
        <w:szCs w:val="16"/>
      </w:rPr>
    </w:pPr>
    <w:r>
      <w:rPr>
        <w:rFonts w:eastAsia="Palatino Linotype" w:cs="Palatino Linotype" w:ascii="Palatino Linotype" w:hAnsi="Palatino Linotype"/>
        <w:color w:val="7F7F7F"/>
        <w:sz w:val="16"/>
        <w:szCs w:val="16"/>
      </w:rPr>
      <w:t>Página</w:t>
    </w:r>
    <w:r>
      <w:rPr>
        <w:rFonts w:eastAsia="Palatino Linotype" w:cs="Palatino Linotype" w:ascii="Palatino Linotype" w:hAnsi="Palatino Linotype"/>
        <w:color w:val="000000"/>
        <w:sz w:val="16"/>
        <w:szCs w:val="16"/>
      </w:rPr>
      <w:t xml:space="preserve"> | </w:t>
    </w:r>
    <w:r>
      <w:rPr>
        <w:rFonts w:eastAsia="Palatino Linotype" w:cs="Palatino Linotype" w:ascii="Palatino Linotype" w:hAnsi="Palatino Linotype"/>
        <w:color w:val="000000"/>
        <w:sz w:val="16"/>
        <w:szCs w:val="16"/>
      </w:rPr>
      <w:fldChar w:fldCharType="begin"/>
    </w:r>
    <w:r>
      <w:rPr>
        <w:sz w:val="16"/>
        <w:szCs w:val="16"/>
        <w:rFonts w:eastAsia="Palatino Linotype" w:cs="Palatino Linotype" w:ascii="Palatino Linotype" w:hAnsi="Palatino Linotype"/>
        <w:color w:val="000000"/>
      </w:rPr>
      <w:instrText xml:space="preserve"> PAGE </w:instrText>
    </w:r>
    <w:r>
      <w:rPr>
        <w:sz w:val="16"/>
        <w:szCs w:val="16"/>
        <w:rFonts w:eastAsia="Palatino Linotype" w:cs="Palatino Linotype" w:ascii="Palatino Linotype" w:hAnsi="Palatino Linotype"/>
        <w:color w:val="000000"/>
      </w:rPr>
      <w:fldChar w:fldCharType="separate"/>
    </w:r>
    <w:r>
      <w:rPr>
        <w:sz w:val="16"/>
        <w:szCs w:val="16"/>
        <w:rFonts w:eastAsia="Palatino Linotype" w:cs="Palatino Linotype" w:ascii="Palatino Linotype" w:hAnsi="Palatino Linotype"/>
        <w:color w:val="000000"/>
      </w:rPr>
      <w:t>0</w:t>
    </w:r>
    <w:r>
      <w:rPr>
        <w:sz w:val="16"/>
        <w:szCs w:val="16"/>
        <w:rFonts w:eastAsia="Palatino Linotype" w:cs="Palatino Linotype" w:ascii="Palatino Linotype" w:hAnsi="Palatino Linotype"/>
        <w:color w:val="000000"/>
      </w:rPr>
      <w:fldChar w:fldCharType="end"/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right"/>
      <w:rPr>
        <w:rFonts w:ascii="Palatino Linotype" w:hAnsi="Palatino Linotype" w:eastAsia="Palatino Linotype" w:cs="Palatino Linotype"/>
        <w:i/>
        <w:i/>
        <w:color w:val="000000"/>
      </w:rPr>
    </w:pPr>
    <w:r>
      <w:rPr>
        <w:rFonts w:eastAsia="Palatino Linotype" w:cs="Palatino Linotype" w:ascii="Palatino Linotype" w:hAnsi="Palatino Linotype"/>
        <w:i/>
        <w:color w:val="000000"/>
      </w:rPr>
      <w:t>Barbosa FC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right"/>
      <w:rPr>
        <w:rFonts w:ascii="Palatino Linotype" w:hAnsi="Palatino Linotype" w:eastAsia="Palatino Linotype" w:cs="Palatino Linotype"/>
        <w:b/>
        <w:color w:val="000000"/>
        <w:sz w:val="18"/>
        <w:szCs w:val="18"/>
      </w:rPr>
    </w:pPr>
    <w:r>
      <w:rPr>
        <w:rFonts w:eastAsia="Palatino Linotype" w:cs="Palatino Linotype" w:ascii="Palatino Linotype" w:hAnsi="Palatino Linotype"/>
        <w:color w:val="7F7F7F"/>
        <w:sz w:val="18"/>
        <w:szCs w:val="18"/>
      </w:rPr>
      <w:t>Página</w:t>
    </w:r>
    <w:r>
      <w:rPr>
        <w:rFonts w:eastAsia="Palatino Linotype" w:cs="Palatino Linotype" w:ascii="Palatino Linotype" w:hAnsi="Palatino Linotype"/>
        <w:color w:val="000000"/>
        <w:sz w:val="18"/>
        <w:szCs w:val="18"/>
      </w:rPr>
      <w:t xml:space="preserve"> | </w:t>
    </w:r>
    <w:r>
      <w:rPr>
        <w:rFonts w:eastAsia="Palatino Linotype" w:cs="Palatino Linotype" w:ascii="Palatino Linotype" w:hAnsi="Palatino Linotype"/>
        <w:color w:val="000000"/>
        <w:sz w:val="18"/>
        <w:szCs w:val="18"/>
      </w:rPr>
      <w:fldChar w:fldCharType="begin"/>
    </w:r>
    <w:r>
      <w:rPr>
        <w:sz w:val="18"/>
        <w:szCs w:val="18"/>
        <w:rFonts w:eastAsia="Palatino Linotype" w:cs="Palatino Linotype" w:ascii="Palatino Linotype" w:hAnsi="Palatino Linotype"/>
        <w:color w:val="000000"/>
      </w:rPr>
      <w:instrText xml:space="preserve"> PAGE </w:instrText>
    </w:r>
    <w:r>
      <w:rPr>
        <w:sz w:val="18"/>
        <w:szCs w:val="18"/>
        <w:rFonts w:eastAsia="Palatino Linotype" w:cs="Palatino Linotype" w:ascii="Palatino Linotype" w:hAnsi="Palatino Linotype"/>
        <w:color w:val="000000"/>
      </w:rPr>
      <w:fldChar w:fldCharType="separate"/>
    </w:r>
    <w:r>
      <w:rPr>
        <w:sz w:val="18"/>
        <w:szCs w:val="18"/>
        <w:rFonts w:eastAsia="Palatino Linotype" w:cs="Palatino Linotype" w:ascii="Palatino Linotype" w:hAnsi="Palatino Linotype"/>
        <w:color w:val="000000"/>
      </w:rPr>
      <w:t>4</w:t>
    </w:r>
    <w:r>
      <w:rPr>
        <w:sz w:val="18"/>
        <w:szCs w:val="18"/>
        <w:rFonts w:eastAsia="Palatino Linotype" w:cs="Palatino Linotype" w:ascii="Palatino Linotype" w:hAnsi="Palatino Linotype"/>
        <w:color w:val="000000"/>
      </w:rPr>
      <w:fldChar w:fldCharType="end"/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right"/>
      <w:rPr>
        <w:rFonts w:ascii="Palatino Linotype" w:hAnsi="Palatino Linotype" w:eastAsia="Palatino Linotype" w:cs="Palatino Linotype"/>
        <w:i/>
        <w:i/>
        <w:color w:val="000000"/>
      </w:rPr>
    </w:pPr>
    <w:r>
      <w:rPr>
        <w:rFonts w:eastAsia="Palatino Linotype" w:cs="Palatino Linotype" w:ascii="Palatino Linotype" w:hAnsi="Palatino Linotype"/>
        <w:i/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6"/>
      <w:tblW w:w="11200" w:type="dxa"/>
      <w:jc w:val="left"/>
      <w:tblInd w:w="-655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0" w:noVBand="1" w:lastRow="0" w:firstColumn="0" w:lastColumn="0" w:noHBand="0" w:val="0400"/>
    </w:tblPr>
    <w:tblGrid>
      <w:gridCol w:w="1759"/>
      <w:gridCol w:w="8540"/>
      <w:gridCol w:w="901"/>
    </w:tblGrid>
    <w:tr>
      <w:trPr>
        <w:trHeight w:val="771" w:hRule="atLeast"/>
      </w:trPr>
      <w:tc>
        <w:tcPr>
          <w:tcW w:w="1759" w:type="dxa"/>
          <w:tcBorders/>
        </w:tcPr>
        <w:p>
          <w:pPr>
            <w:pStyle w:val="Normal"/>
            <w:tabs>
              <w:tab w:val="clear" w:pos="720"/>
              <w:tab w:val="center" w:pos="4507" w:leader="none"/>
            </w:tabs>
            <w:spacing w:before="90" w:after="160"/>
            <w:ind w:firstLine="1101" w:left="-1101" w:right="198"/>
            <w:rPr>
              <w:rFonts w:ascii="Arial" w:hAnsi="Arial" w:eastAsia="Arial" w:cs="Arial"/>
            </w:rPr>
          </w:pPr>
          <w:r>
            <w:rPr/>
            <mc:AlternateContent>
              <mc:Choice Requires="wps">
                <w:drawing>
                  <wp:anchor behindDoc="1" distT="0" distB="0" distL="0" distR="0" simplePos="0" locked="0" layoutInCell="0" allowOverlap="1" relativeHeight="30" wp14:anchorId="44C0BD05">
                    <wp:simplePos x="0" y="0"/>
                    <wp:positionH relativeFrom="margin">
                      <wp:posOffset>-536575</wp:posOffset>
                    </wp:positionH>
                    <wp:positionV relativeFrom="paragraph">
                      <wp:posOffset>-144780</wp:posOffset>
                    </wp:positionV>
                    <wp:extent cx="7981315" cy="55245"/>
                    <wp:effectExtent l="0" t="0" r="0" b="0"/>
                    <wp:wrapTopAndBottom/>
                    <wp:docPr id="1" name="Retângulo 765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981200" cy="55080"/>
                            </a:xfrm>
                            <a:prstGeom prst="rect">
                              <a:avLst/>
                            </a:prstGeom>
                            <a:solidFill>
                              <a:schemeClr val="dk1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txbx>
                            <w:txbxContent>
                              <w:p>
                                <w:pPr>
                                  <w:pStyle w:val="Contedodoquadro"/>
                                  <w:spacing w:lineRule="auto" w:line="252" w:before="0" w:after="160"/>
                                  <w:jc w:val="center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</w:r>
                              </w:p>
                            </w:txbxContent>
                          </wps:txbx>
                          <wps:bodyPr tIns="10080" bIns="10080" anchor="t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shape_0" ID="Retângulo 765" path="m0,0l-2147483645,0l-2147483645,-2147483646l0,-2147483646xe" fillcolor="black" stroked="f" o:allowincell="f" style="position:absolute;margin-left:-42.25pt;margin-top:-11.4pt;width:628.4pt;height:4.3pt;mso-wrap-style:none;v-text-anchor:middle;mso-position-horizontal-relative:margin" wp14:anchorId="44C0BD05">
                    <v:fill o:detectmouseclick="t" type="solid" color2="white"/>
                    <v:stroke color="#3465a4" joinstyle="round" endcap="flat"/>
                    <v:textbox>
                      <w:txbxContent>
                        <w:p>
                          <w:pPr>
                            <w:pStyle w:val="Contedodoquadro"/>
                            <w:spacing w:lineRule="auto" w:line="252" w:before="0" w:after="1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v:textbox>
                    <w10:wrap type="topAndBottom"/>
                  </v:rect>
                </w:pict>
              </mc:Fallback>
            </mc:AlternateContent>
            <w:drawing>
              <wp:inline distT="0" distB="0" distL="0" distR="0">
                <wp:extent cx="883920" cy="883920"/>
                <wp:effectExtent l="0" t="0" r="0" b="0"/>
                <wp:docPr id="2" name="image10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0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8839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40" w:type="dxa"/>
          <w:tcBorders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lang w:val="pt-BR" w:eastAsia="pt-BR" w:bidi="ar-SA"/>
            </w:rPr>
          </w:pPr>
          <w:r>
            <w:rPr>
              <w:rFonts w:eastAsia="Palatino Linotype" w:cs="Palatino Linotype" w:ascii="Palatino Linotype" w:hAnsi="Palatino Linotype"/>
              <w:b/>
              <w:sz w:val="28"/>
              <w:szCs w:val="28"/>
              <w:lang w:val="pt-BR" w:eastAsia="pt-BR" w:bidi="ar-SA"/>
            </w:rPr>
            <w:t>Revista Portal – Saúde e Sociedade</w:t>
          </w:r>
        </w:p>
        <w:p>
          <w:pPr>
            <w:pStyle w:val="Normal"/>
            <w:shd w:val="clear" w:color="auto" w:fill="FFFFFF"/>
            <w:spacing w:lineRule="auto" w:line="240" w:before="0" w:after="0"/>
            <w:jc w:val="center"/>
            <w:rPr>
              <w:lang w:val="pt-BR" w:eastAsia="pt-BR" w:bidi="ar-SA"/>
            </w:rPr>
          </w:pPr>
          <w:r>
            <w:rPr>
              <w:rFonts w:eastAsia="Palatino Linotype" w:cs="Palatino Linotype" w:ascii="Palatino Linotype" w:hAnsi="Palatino Linotype"/>
              <w:lang w:val="pt-BR" w:eastAsia="pt-BR" w:bidi="ar-SA"/>
            </w:rPr>
            <w:t>E - ISSN </w:t>
          </w:r>
          <w:r>
            <w:rPr>
              <w:rFonts w:eastAsia="Palatino Linotype" w:cs="Palatino Linotype" w:ascii="Palatino Linotype" w:hAnsi="Palatino Linotype"/>
              <w:b/>
              <w:lang w:val="pt-BR" w:eastAsia="pt-BR" w:bidi="ar-SA"/>
            </w:rPr>
            <w:t>2525-4200</w:t>
          </w:r>
        </w:p>
        <w:p>
          <w:pPr>
            <w:pStyle w:val="Normal"/>
            <w:spacing w:lineRule="auto" w:line="240" w:before="0" w:after="0"/>
            <w:jc w:val="center"/>
            <w:rPr>
              <w:lang w:val="pt-BR" w:eastAsia="pt-BR" w:bidi="ar-SA"/>
            </w:rPr>
          </w:pPr>
          <w:r>
            <w:rPr>
              <w:rFonts w:eastAsia="Palatino Linotype" w:cs="Palatino Linotype" w:ascii="Palatino Linotype" w:hAnsi="Palatino Linotype"/>
              <w:sz w:val="20"/>
              <w:szCs w:val="20"/>
              <w:lang w:val="pt-BR" w:eastAsia="pt-BR" w:bidi="ar-SA"/>
            </w:rPr>
            <w:t xml:space="preserve">Volume 10 (2024), ANAIS – 1º Simpósio Nacional de Unidades Docentes Assistências da Atenção Básica, </w:t>
          </w:r>
          <w:r>
            <w:rPr>
              <w:rFonts w:eastAsia="Palatino Linotype" w:cs="Palatino Linotype" w:ascii="Palatino Linotype" w:hAnsi="Palatino Linotype"/>
              <w:b w:val="false"/>
              <w:i w:val="false"/>
              <w:strike w:val="false"/>
              <w:dstrike w:val="false"/>
              <w:outline w:val="false"/>
              <w:shadow w:val="false"/>
              <w:color w:val="000000"/>
              <w:kern w:val="0"/>
              <w:sz w:val="20"/>
              <w:szCs w:val="20"/>
              <w:u w:val="none"/>
              <w:em w:val="none"/>
              <w:lang w:val="pt-BR" w:eastAsia="pt-BR" w:bidi="ar-SA"/>
            </w:rPr>
            <w:t>v10iEspecial.197</w:t>
          </w:r>
        </w:p>
        <w:p>
          <w:pPr>
            <w:pStyle w:val="Normal"/>
            <w:spacing w:lineRule="auto" w:line="240" w:before="0" w:after="0"/>
            <w:jc w:val="center"/>
            <w:rPr/>
          </w:pPr>
          <w:r>
            <w:rPr/>
            <w:drawing>
              <wp:inline distT="0" distB="0" distL="0" distR="0">
                <wp:extent cx="182880" cy="182880"/>
                <wp:effectExtent l="0" t="0" r="0" b="0"/>
                <wp:docPr id="3" name="image3.png" descr="DOI, Indexação de Artigos e serviços Crossref - Galoá Ciên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.png" descr="DOI, Indexação de Artigos e serviços Crossref - Galoá Ciên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Style w:val="InternetLink"/>
              <w:rFonts w:cs="Noto Sans" w:ascii="Palatino Linotype" w:hAnsi="Palatino Linotype"/>
              <w:b w:val="false"/>
              <w:i w:val="false"/>
              <w:strike w:val="false"/>
              <w:dstrike w:val="false"/>
              <w:outline w:val="false"/>
              <w:shadow w:val="false"/>
              <w:color w:val="006798"/>
              <w:sz w:val="20"/>
              <w:szCs w:val="20"/>
              <w:u w:val="single"/>
              <w:shd w:fill="FFFFFF" w:val="clear"/>
              <w:em w:val="none"/>
              <w:lang w:val="pt-BR" w:eastAsia="pt-BR" w:bidi="ar-SA"/>
            </w:rPr>
            <w:t>https://doi.org/</w:t>
          </w:r>
          <w:r>
            <w:rPr>
              <w:rFonts w:ascii="Palatino Linotype" w:hAnsi="Palatino Linotype"/>
              <w:b w:val="false"/>
              <w:i w:val="false"/>
              <w:strike w:val="false"/>
              <w:dstrike w:val="false"/>
              <w:outline w:val="false"/>
              <w:shadow w:val="false"/>
              <w:color w:val="006798"/>
              <w:kern w:val="0"/>
              <w:sz w:val="20"/>
              <w:u w:val="single"/>
              <w:em w:val="none"/>
            </w:rPr>
            <w:t>10.28998/rpss.v10iEspecial.197</w:t>
          </w:r>
        </w:p>
        <w:p>
          <w:pPr>
            <w:pStyle w:val="Normal"/>
            <w:spacing w:lineRule="auto" w:line="240" w:before="0" w:after="0"/>
            <w:ind w:left="720"/>
            <w:jc w:val="center"/>
            <w:rPr/>
          </w:pPr>
          <w:hyperlink r:id="rId3">
            <w:r>
              <w:rPr>
                <w:rStyle w:val="Style3"/>
                <w:rFonts w:eastAsia="Palatino Linotype" w:cs="Palatino Linotype" w:ascii="Palatino Linotype" w:hAnsi="Palatino Linotype"/>
                <w:color w:val="0563C1"/>
                <w:sz w:val="20"/>
                <w:szCs w:val="20"/>
                <w:u w:val="single"/>
                <w:lang w:val="pt-BR" w:eastAsia="pt-BR" w:bidi="ar-SA"/>
              </w:rPr>
              <w:t>https://www.seer.ufal.br/index.php/nuspfamed/index</w:t>
            </w:r>
          </w:hyperlink>
        </w:p>
      </w:tc>
      <w:tc>
        <w:tcPr>
          <w:tcW w:w="901" w:type="dxa"/>
          <w:tcBorders/>
        </w:tcPr>
        <w:p>
          <w:pPr>
            <w:pStyle w:val="Normal"/>
            <w:widowControl w:val="false"/>
            <w:spacing w:lineRule="auto" w:line="240" w:before="0" w:after="0"/>
            <w:jc w:val="center"/>
            <w:rPr>
              <w:rFonts w:ascii="Palatino Linotype" w:hAnsi="Palatino Linotype" w:eastAsia="Palatino Linotype" w:cs="Palatino Linotype"/>
              <w:b/>
            </w:rPr>
          </w:pPr>
          <w:r>
            <w:rPr>
              <w:rFonts w:eastAsia="Palatino Linotype" w:cs="Palatino Linotype" w:ascii="Palatino Linotype" w:hAnsi="Palatino Linotype"/>
              <w:b/>
            </w:rPr>
          </w:r>
        </w:p>
      </w:tc>
    </w:tr>
  </w:tbl>
  <w:p>
    <w:pPr>
      <w:pStyle w:val="Normal"/>
      <w:tabs>
        <w:tab w:val="clear" w:pos="720"/>
        <w:tab w:val="center" w:pos="4507" w:leader="none"/>
      </w:tabs>
      <w:spacing w:before="90" w:after="160"/>
      <w:ind w:right="198"/>
      <w:jc w:val="both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8" wp14:anchorId="322A78A3">
              <wp:simplePos x="0" y="0"/>
              <wp:positionH relativeFrom="column">
                <wp:posOffset>-889000</wp:posOffset>
              </wp:positionH>
              <wp:positionV relativeFrom="paragraph">
                <wp:posOffset>227330</wp:posOffset>
              </wp:positionV>
              <wp:extent cx="7920355" cy="54610"/>
              <wp:effectExtent l="0" t="0" r="0" b="0"/>
              <wp:wrapTopAndBottom/>
              <wp:docPr id="4" name="Retângulo 7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0360" cy="54720"/>
                      </a:xfrm>
                      <a:prstGeom prst="rect">
                        <a:avLst/>
                      </a:prstGeom>
                      <a:solidFill>
                        <a:schemeClr val="dk1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52" w:before="0" w:after="16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tIns="9360" bIns="9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tângulo 764" path="m0,0l-2147483645,0l-2147483645,-2147483646l0,-2147483646xe" fillcolor="black" stroked="f" o:allowincell="f" style="position:absolute;margin-left:-70pt;margin-top:17.9pt;width:623.6pt;height:4.25pt;mso-wrap-style:none;v-text-anchor:middle" wp14:anchorId="322A78A3">
              <v:fill o:detectmouseclick="t" type="solid" color2="whit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52" w:before="0" w:after="16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450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pt-BR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bd7e4f"/>
    <w:pPr>
      <w:keepNext w:val="true"/>
      <w:spacing w:lineRule="auto" w:line="276"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a1cfa"/>
    <w:pPr>
      <w:keepNext w:val="true"/>
      <w:spacing w:lineRule="auto" w:line="276"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a1cfa"/>
    <w:pPr>
      <w:keepNext w:val="true"/>
      <w:spacing w:lineRule="auto" w:line="276"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link w:val="Ttulo4Char"/>
    <w:uiPriority w:val="9"/>
    <w:semiHidden/>
    <w:unhideWhenUsed/>
    <w:qFormat/>
    <w:rsid w:val="008a1cfa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905389"/>
    <w:rPr/>
  </w:style>
  <w:style w:type="character" w:styleId="RodapChar" w:customStyle="1">
    <w:name w:val="Rodapé Char"/>
    <w:basedOn w:val="DefaultParagraphFont"/>
    <w:uiPriority w:val="99"/>
    <w:qFormat/>
    <w:rsid w:val="00905389"/>
    <w:rPr/>
  </w:style>
  <w:style w:type="character" w:styleId="CorpodetextoChar" w:customStyle="1">
    <w:name w:val="Corpo de texto Char"/>
    <w:basedOn w:val="DefaultParagraphFont"/>
    <w:qFormat/>
    <w:rsid w:val="00905389"/>
    <w:rPr>
      <w:rFonts w:ascii="Cambria" w:hAnsi="Cambria" w:eastAsia="Cambria" w:cs="Cambria"/>
      <w:sz w:val="16"/>
      <w:szCs w:val="16"/>
      <w:lang w:val="en-US"/>
    </w:rPr>
  </w:style>
  <w:style w:type="character" w:styleId="InternetLink" w:customStyle="1">
    <w:name w:val="Internet Link"/>
    <w:unhideWhenUsed/>
    <w:qFormat/>
    <w:rsid w:val="00e05844"/>
    <w:rPr>
      <w:color w:val="0000FF"/>
      <w:u w:val="single"/>
    </w:rPr>
  </w:style>
  <w:style w:type="character" w:styleId="Ttulo1Char" w:customStyle="1">
    <w:name w:val="Título 1 Char"/>
    <w:basedOn w:val="DefaultParagraphFont"/>
    <w:uiPriority w:val="9"/>
    <w:qFormat/>
    <w:rsid w:val="00bd7e4f"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rong">
    <w:name w:val="Strong"/>
    <w:uiPriority w:val="22"/>
    <w:qFormat/>
    <w:rsid w:val="00bd7e4f"/>
    <w:rPr>
      <w:b/>
      <w:bCs/>
    </w:rPr>
  </w:style>
  <w:style w:type="character" w:styleId="apple-converted-space" w:customStyle="1">
    <w:name w:val="apple-converted-space"/>
    <w:basedOn w:val="DefaultParagraphFont"/>
    <w:qFormat/>
    <w:rsid w:val="00bd7e4f"/>
    <w:rPr/>
  </w:style>
  <w:style w:type="character" w:styleId="TextodenotaderodapChar" w:customStyle="1">
    <w:name w:val="Texto de nota de rodapé Char"/>
    <w:basedOn w:val="DefaultParagraphFont"/>
    <w:uiPriority w:val="99"/>
    <w:qFormat/>
    <w:rsid w:val="00bd7e4f"/>
    <w:rPr>
      <w:rFonts w:ascii="Times New Roman" w:hAnsi="Times New Roman" w:eastAsia="Calibri" w:cs="Times New Roman"/>
      <w:sz w:val="20"/>
      <w:szCs w:val="20"/>
    </w:rPr>
  </w:style>
  <w:style w:type="character" w:styleId="Emphasis">
    <w:name w:val="Emphasis"/>
    <w:uiPriority w:val="20"/>
    <w:qFormat/>
    <w:rsid w:val="00bd7e4f"/>
    <w:rPr>
      <w:i/>
      <w:iCs/>
    </w:rPr>
  </w:style>
  <w:style w:type="character" w:styleId="Caracteresdenotaderodapuser">
    <w:name w:val="Caracteres de nota de rodapé (user)"/>
    <w:qFormat/>
    <w:rPr>
      <w:vertAlign w:val="superscript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 w:customStyle="1">
    <w:name w:val="Footnote Characters11"/>
    <w:qFormat/>
    <w:rPr>
      <w:vertAlign w:val="superscript"/>
    </w:rPr>
  </w:style>
  <w:style w:type="character" w:styleId="FootnoteCharacters111" w:customStyle="1">
    <w:name w:val="Footnote Characters111"/>
    <w:uiPriority w:val="99"/>
    <w:unhideWhenUsed/>
    <w:qFormat/>
    <w:rsid w:val="00bd7e4f"/>
    <w:rPr>
      <w:vertAlign w:val="superscript"/>
    </w:rPr>
  </w:style>
  <w:style w:type="character" w:styleId="y2iqfc" w:customStyle="1">
    <w:name w:val="y2iqfc"/>
    <w:basedOn w:val="DefaultParagraphFont"/>
    <w:qFormat/>
    <w:rsid w:val="00bc6f66"/>
    <w:rPr/>
  </w:style>
  <w:style w:type="character" w:styleId="SubtleEmphasis">
    <w:name w:val="Subtle Emphasis"/>
    <w:uiPriority w:val="19"/>
    <w:qFormat/>
    <w:rsid w:val="00e05844"/>
    <w:rPr>
      <w:i/>
      <w:iCs/>
    </w:rPr>
  </w:style>
  <w:style w:type="character" w:styleId="CommentReference">
    <w:name w:val="annotation reference"/>
    <w:uiPriority w:val="99"/>
    <w:semiHidden/>
    <w:unhideWhenUsed/>
    <w:qFormat/>
    <w:rsid w:val="00a90fe9"/>
    <w:rPr>
      <w:sz w:val="16"/>
      <w:szCs w:val="16"/>
    </w:rPr>
  </w:style>
  <w:style w:type="character" w:styleId="Ttulo2Char" w:customStyle="1">
    <w:name w:val="Título 2 Char"/>
    <w:basedOn w:val="DefaultParagraphFont"/>
    <w:uiPriority w:val="9"/>
    <w:semiHidden/>
    <w:qFormat/>
    <w:rsid w:val="008a1cfa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Ttulo3Char" w:customStyle="1">
    <w:name w:val="Título 3 Char"/>
    <w:basedOn w:val="DefaultParagraphFont"/>
    <w:uiPriority w:val="9"/>
    <w:semiHidden/>
    <w:qFormat/>
    <w:rsid w:val="008a1cfa"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Ttulo4Char" w:customStyle="1">
    <w:name w:val="Título 4 Char"/>
    <w:basedOn w:val="DefaultParagraphFont"/>
    <w:uiPriority w:val="9"/>
    <w:qFormat/>
    <w:rsid w:val="008a1cfa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styleId="ata11y" w:customStyle="1">
    <w:name w:val="at_a11y"/>
    <w:basedOn w:val="DefaultParagraphFont"/>
    <w:qFormat/>
    <w:rsid w:val="008a1cfa"/>
    <w:rPr/>
  </w:style>
  <w:style w:type="character" w:styleId="addthisseparator" w:customStyle="1">
    <w:name w:val="addthis_separator"/>
    <w:basedOn w:val="DefaultParagraphFont"/>
    <w:qFormat/>
    <w:rsid w:val="008a1cfa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8a1cfa"/>
    <w:rPr>
      <w:rFonts w:ascii="Tahoma" w:hAnsi="Tahoma" w:eastAsia="Calibri" w:cs="Tahoma"/>
      <w:sz w:val="16"/>
      <w:szCs w:val="16"/>
    </w:rPr>
  </w:style>
  <w:style w:type="character" w:styleId="PageNumber">
    <w:name w:val="page number"/>
    <w:basedOn w:val="DefaultParagraphFont"/>
    <w:uiPriority w:val="99"/>
    <w:unhideWhenUsed/>
    <w:qFormat/>
    <w:rsid w:val="008a1cfa"/>
    <w:rPr/>
  </w:style>
  <w:style w:type="character" w:styleId="apple-style-span" w:customStyle="1">
    <w:name w:val="apple-style-span"/>
    <w:basedOn w:val="DefaultParagraphFont"/>
    <w:qFormat/>
    <w:rsid w:val="008a1cfa"/>
    <w:rPr/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8a1cfa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Pr-formataoHTMLChar" w:customStyle="1">
    <w:name w:val="Pré-formatação HTML Char"/>
    <w:basedOn w:val="DefaultParagraphFont"/>
    <w:uiPriority w:val="99"/>
    <w:qFormat/>
    <w:rsid w:val="008a1cfa"/>
    <w:rPr>
      <w:rFonts w:ascii="Courier New" w:hAnsi="Courier New" w:eastAsia="Times New Roman" w:cs="Times New Roman"/>
      <w:sz w:val="20"/>
      <w:szCs w:val="20"/>
      <w:lang w:val="x-none" w:eastAsia="pt-BR"/>
    </w:rPr>
  </w:style>
  <w:style w:type="character" w:styleId="MenoPendente1" w:customStyle="1">
    <w:name w:val="Menção Pendente1"/>
    <w:uiPriority w:val="99"/>
    <w:semiHidden/>
    <w:unhideWhenUsed/>
    <w:qFormat/>
    <w:rsid w:val="008a1cfa"/>
    <w:rPr>
      <w:color w:val="605E5C"/>
      <w:shd w:fill="E1DFDD" w:val="clear"/>
    </w:rPr>
  </w:style>
  <w:style w:type="character" w:styleId="hps" w:customStyle="1">
    <w:name w:val="hps"/>
    <w:qFormat/>
    <w:rsid w:val="008a1cfa"/>
    <w:rPr/>
  </w:style>
  <w:style w:type="character" w:styleId="A0" w:customStyle="1">
    <w:name w:val="A0"/>
    <w:uiPriority w:val="99"/>
    <w:qFormat/>
    <w:rsid w:val="008a1cfa"/>
    <w:rPr>
      <w:color w:val="000000"/>
      <w:sz w:val="16"/>
      <w:szCs w:val="16"/>
    </w:rPr>
  </w:style>
  <w:style w:type="character" w:styleId="A1" w:customStyle="1">
    <w:name w:val="A1"/>
    <w:uiPriority w:val="99"/>
    <w:qFormat/>
    <w:rsid w:val="008a1cfa"/>
    <w:rPr>
      <w:i/>
      <w:iCs/>
      <w:color w:val="000000"/>
      <w:sz w:val="18"/>
      <w:szCs w:val="18"/>
    </w:rPr>
  </w:style>
  <w:style w:type="character" w:styleId="su-dropcap" w:customStyle="1">
    <w:name w:val="su-dropcap"/>
    <w:qFormat/>
    <w:rsid w:val="008a1cfa"/>
    <w:rPr/>
  </w:style>
  <w:style w:type="character" w:styleId="A7" w:customStyle="1">
    <w:name w:val="A7"/>
    <w:uiPriority w:val="99"/>
    <w:qFormat/>
    <w:rsid w:val="008a1cfa"/>
    <w:rPr>
      <w:color w:val="000000"/>
      <w:sz w:val="20"/>
      <w:szCs w:val="20"/>
    </w:rPr>
  </w:style>
  <w:style w:type="character" w:styleId="IntenseReference">
    <w:name w:val="Intense Reference"/>
    <w:uiPriority w:val="32"/>
    <w:qFormat/>
    <w:rsid w:val="008a1cfa"/>
    <w:rPr>
      <w:b/>
      <w:bCs/>
      <w:smallCaps/>
      <w:color w:val="C0504D"/>
      <w:spacing w:val="5"/>
      <w:u w:val="single"/>
    </w:rPr>
  </w:style>
  <w:style w:type="character" w:styleId="RecuodecorpodetextoChar" w:customStyle="1">
    <w:name w:val="Recuo de corpo de texto Char"/>
    <w:basedOn w:val="DefaultParagraphFont"/>
    <w:link w:val="BodyTextIndented"/>
    <w:uiPriority w:val="99"/>
    <w:semiHidden/>
    <w:qFormat/>
    <w:rsid w:val="008a1cfa"/>
    <w:rPr>
      <w:rFonts w:ascii="Calibri" w:hAnsi="Calibri" w:eastAsia="Calibri" w:cs="Times New Roman"/>
    </w:rPr>
  </w:style>
  <w:style w:type="character" w:styleId="InternetLink1">
    <w:name w:val="Internet Link1"/>
    <w:basedOn w:val="DefaultParagraphFont"/>
    <w:uiPriority w:val="99"/>
    <w:unhideWhenUsed/>
    <w:qFormat/>
    <w:rsid w:val="009e660d"/>
    <w:rPr>
      <w:color w:themeColor="hyperlink" w:val="0563C1"/>
      <w:u w:val="single"/>
    </w:rPr>
  </w:style>
  <w:style w:type="character" w:styleId="FootnoteCharacters1111">
    <w:name w:val="Footnote Characters1111"/>
    <w:uiPriority w:val="99"/>
    <w:unhideWhenUsed/>
    <w:qFormat/>
    <w:rsid w:val="009e660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e660d"/>
    <w:rPr>
      <w:color w:val="605E5C"/>
      <w:shd w:fill="E1DFDD" w:val="clear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9e660d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Marcadoresuser">
    <w:name w:val="Marcadores (user)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qFormat/>
    <w:rsid w:val="00905389"/>
    <w:pPr>
      <w:widowControl w:val="false"/>
      <w:spacing w:lineRule="auto" w:line="240" w:before="0" w:after="0"/>
    </w:pPr>
    <w:rPr>
      <w:rFonts w:ascii="Cambria" w:hAnsi="Cambria" w:eastAsia="Cambria" w:cs="Cambria"/>
      <w:sz w:val="16"/>
      <w:szCs w:val="1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unhideWhenUsed/>
    <w:qFormat/>
    <w:rsid w:val="008a1cfa"/>
    <w:pPr>
      <w:spacing w:lineRule="auto" w:line="276" w:before="0" w:after="200"/>
    </w:pPr>
    <w:rPr>
      <w:rFonts w:cs="Times New Roman"/>
      <w:b/>
      <w:b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Cabealhoerodap10">
    <w:name w:val="Cabeçalho e rodapé10"/>
    <w:basedOn w:val="Normal"/>
    <w:qFormat/>
    <w:pPr/>
    <w:rPr/>
  </w:style>
  <w:style w:type="paragraph" w:styleId="Cabealhoerodap11">
    <w:name w:val="Cabeçalho e rodapé11"/>
    <w:basedOn w:val="Normal"/>
    <w:qFormat/>
    <w:pPr/>
    <w:rPr/>
  </w:style>
  <w:style w:type="paragraph" w:styleId="Cabealhoerodap12">
    <w:name w:val="Cabeçalho e rodapé12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905389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905389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Texto" w:customStyle="1">
    <w:name w:val="Texto"/>
    <w:basedOn w:val="Normal"/>
    <w:qFormat/>
    <w:rsid w:val="009e660d"/>
    <w:pPr>
      <w:widowControl w:val="false"/>
      <w:spacing w:lineRule="auto" w:line="252" w:before="0" w:after="0"/>
      <w:ind w:firstLine="202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bd7e4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7e4f"/>
    <w:pPr>
      <w:spacing w:lineRule="auto" w:line="276" w:before="0" w:after="200"/>
      <w:ind w:left="720"/>
      <w:contextualSpacing/>
    </w:pPr>
    <w:rPr>
      <w:rFonts w:cs="Times New Roman"/>
    </w:rPr>
  </w:style>
  <w:style w:type="paragraph" w:styleId="FootnoteText">
    <w:name w:val="footnote text"/>
    <w:basedOn w:val="Normal"/>
    <w:link w:val="TextodenotaderodapChar"/>
    <w:uiPriority w:val="99"/>
    <w:unhideWhenUsed/>
    <w:rsid w:val="00bd7e4f"/>
    <w:pPr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6a183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en-US" w:eastAsia="pt-BR" w:bidi="ar-SA"/>
    </w:rPr>
  </w:style>
  <w:style w:type="paragraph" w:styleId="Standard" w:customStyle="1">
    <w:name w:val="Standard"/>
    <w:qFormat/>
    <w:rsid w:val="00c502b7"/>
    <w:pPr>
      <w:widowControl/>
      <w:suppressAutoHyphens w:val="true"/>
      <w:bidi w:val="0"/>
      <w:spacing w:lineRule="auto" w:line="259" w:before="0" w:after="16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PargrafodaLista1" w:customStyle="1">
    <w:name w:val="Parágrafo da Lista1"/>
    <w:basedOn w:val="Normal"/>
    <w:qFormat/>
    <w:rsid w:val="00c502b7"/>
    <w:pPr>
      <w:overflowPunct w:val="false"/>
      <w:spacing w:lineRule="auto" w:line="276" w:before="0" w:after="200"/>
      <w:ind w:left="720"/>
      <w:contextualSpacing/>
    </w:pPr>
    <w:rPr>
      <w:rFonts w:cs="Times New Roman"/>
    </w:rPr>
  </w:style>
  <w:style w:type="paragraph" w:styleId="SP09-Corpodotexto" w:customStyle="1">
    <w:name w:val="SP09 - Corpo do texto"/>
    <w:basedOn w:val="Normal"/>
    <w:qFormat/>
    <w:rsid w:val="00e05844"/>
    <w:pPr>
      <w:spacing w:lineRule="auto" w:line="240" w:before="0" w:after="0"/>
      <w:ind w:firstLine="284"/>
      <w:jc w:val="both"/>
    </w:pPr>
    <w:rPr>
      <w:rFonts w:ascii="Times New Roman" w:hAnsi="Times New Roman" w:eastAsia="Times New Roman" w:cs="Times New Roman"/>
      <w:szCs w:val="20"/>
    </w:rPr>
  </w:style>
  <w:style w:type="paragraph" w:styleId="SP13-RefernciasBibliogrficas" w:customStyle="1">
    <w:name w:val="SP13 - Referências Bibliográficas"/>
    <w:basedOn w:val="ListParagraph"/>
    <w:qFormat/>
    <w:rsid w:val="00e05844"/>
    <w:pPr>
      <w:spacing w:lineRule="auto" w:line="240" w:before="0" w:after="0"/>
      <w:ind w:hanging="284" w:left="284"/>
      <w:contextualSpacing/>
      <w:jc w:val="both"/>
    </w:pPr>
    <w:rPr>
      <w:rFonts w:ascii="Times New Roman" w:hAnsi="Times New Roman"/>
      <w:sz w:val="20"/>
      <w:szCs w:val="20"/>
    </w:rPr>
  </w:style>
  <w:style w:type="paragraph" w:styleId="DecimalAligned" w:customStyle="1">
    <w:name w:val="Decimal Aligned"/>
    <w:basedOn w:val="Normal"/>
    <w:uiPriority w:val="40"/>
    <w:qFormat/>
    <w:rsid w:val="00e05844"/>
    <w:pPr>
      <w:tabs>
        <w:tab w:val="clear" w:pos="720"/>
        <w:tab w:val="decimal" w:pos="360" w:leader="none"/>
      </w:tabs>
      <w:spacing w:lineRule="auto" w:line="276" w:before="0" w:after="200"/>
    </w:pPr>
    <w:rPr>
      <w:rFonts w:eastAsia="Times New Roman" w:cs="Times New Roman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a1cf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bstract" w:customStyle="1">
    <w:name w:val="Abstract"/>
    <w:basedOn w:val="Normal"/>
    <w:qFormat/>
    <w:rsid w:val="008a1cfa"/>
    <w:pPr>
      <w:spacing w:lineRule="auto" w:line="240" w:before="0" w:after="0"/>
      <w:jc w:val="both"/>
    </w:pPr>
    <w:rPr>
      <w:rFonts w:ascii="Times New Roman" w:hAnsi="Times New Roman" w:eastAsia="Times New Roman" w:cs="Times New Roman"/>
      <w:i/>
      <w:sz w:val="20"/>
      <w:szCs w:val="24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qFormat/>
    <w:rsid w:val="008a1cfa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Default" w:customStyle="1">
    <w:name w:val="Default"/>
    <w:qFormat/>
    <w:rsid w:val="008a1cfa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pt-BR" w:bidi="ar-SA"/>
    </w:rPr>
  </w:style>
  <w:style w:type="paragraph" w:styleId="VDTableTitle" w:customStyle="1">
    <w:name w:val="VD_Table_Title"/>
    <w:basedOn w:val="Normal"/>
    <w:next w:val="Normal"/>
    <w:qFormat/>
    <w:rsid w:val="008a1cfa"/>
    <w:pPr>
      <w:spacing w:lineRule="exact" w:line="200" w:before="0" w:after="240"/>
    </w:pPr>
    <w:rPr>
      <w:rFonts w:ascii="Times" w:hAnsi="Times" w:eastAsia="Times New Roman" w:cs="Times New Roman"/>
      <w:sz w:val="18"/>
      <w:szCs w:val="20"/>
    </w:rPr>
  </w:style>
  <w:style w:type="paragraph" w:styleId="FETableFootnote" w:customStyle="1">
    <w:name w:val="FE_Table_Footnote"/>
    <w:basedOn w:val="Normal"/>
    <w:qFormat/>
    <w:rsid w:val="008a1cfa"/>
    <w:pPr>
      <w:spacing w:lineRule="exact" w:line="170" w:before="0" w:after="0"/>
      <w:ind w:firstLine="187"/>
    </w:pPr>
    <w:rPr>
      <w:rFonts w:ascii="Helvetica" w:hAnsi="Helvetica" w:eastAsia="Times New Roman" w:cs="Times New Roman"/>
      <w:sz w:val="16"/>
      <w:szCs w:val="20"/>
    </w:rPr>
  </w:style>
  <w:style w:type="paragraph" w:styleId="HTMLPreformatted">
    <w:name w:val="HTML Preformatted"/>
    <w:basedOn w:val="Normal"/>
    <w:uiPriority w:val="99"/>
    <w:unhideWhenUsed/>
    <w:qFormat/>
    <w:rsid w:val="008a1cfa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val="x-none"/>
    </w:rPr>
  </w:style>
  <w:style w:type="paragraph" w:styleId="Textbody" w:customStyle="1">
    <w:name w:val="Text body"/>
    <w:basedOn w:val="Standard"/>
    <w:qFormat/>
    <w:rsid w:val="008a1cfa"/>
    <w:pPr>
      <w:spacing w:lineRule="auto" w:line="276" w:before="0" w:after="140"/>
    </w:pPr>
    <w:rPr/>
  </w:style>
  <w:style w:type="paragraph" w:styleId="Bibliography">
    <w:name w:val="Bibliography"/>
    <w:basedOn w:val="Normal"/>
    <w:next w:val="Normal"/>
    <w:uiPriority w:val="37"/>
    <w:unhideWhenUsed/>
    <w:qFormat/>
    <w:rsid w:val="008a1cfa"/>
    <w:pPr>
      <w:spacing w:lineRule="auto" w:line="276" w:before="0" w:after="200"/>
    </w:pPr>
    <w:rPr>
      <w:rFonts w:eastAsia="Times New Roman" w:cs="Times New Roman"/>
    </w:rPr>
  </w:style>
  <w:style w:type="paragraph" w:styleId="BodyTextIndented">
    <w:name w:val="Body Text, Indented"/>
    <w:basedOn w:val="Normal"/>
    <w:link w:val="RecuodecorpodetextoChar"/>
    <w:uiPriority w:val="99"/>
    <w:semiHidden/>
    <w:unhideWhenUsed/>
    <w:qFormat/>
    <w:rsid w:val="008a1cfa"/>
    <w:pPr>
      <w:spacing w:lineRule="auto" w:line="276" w:before="0" w:after="120"/>
      <w:ind w:left="283"/>
    </w:pPr>
    <w:rPr>
      <w:rFonts w:cs="Times New Roman"/>
    </w:rPr>
  </w:style>
  <w:style w:type="paragraph" w:styleId="Contedodoquadro" w:customStyle="1">
    <w:name w:val="Conteúdo do quadro"/>
    <w:basedOn w:val="Normal"/>
    <w:qFormat/>
    <w:pPr/>
    <w:rPr/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9e660d"/>
    <w:pPr>
      <w:spacing w:before="0" w:after="160"/>
    </w:pPr>
    <w:rPr>
      <w:rFonts w:ascii="Calibri" w:hAnsi="Calibri" w:eastAsia="Calibri" w:cs="" w:asciiTheme="minorHAnsi" w:cstheme="minorBidi" w:eastAsiaTheme="minorHAnsi" w:hAnsiTheme="minorHAnsi"/>
      <w:b/>
      <w:bCs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e34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deGrade4">
    <w:name w:val="Grid Table 4"/>
    <w:basedOn w:val="Tabelanormal"/>
    <w:uiPriority w:val="49"/>
    <w:rsid w:val="00e05844"/>
    <w:rPr>
      <w:sz w:val="20"/>
      <w:szCs w:val="20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Mdia2-nfase1">
    <w:name w:val="Medium List 2 Accent 1"/>
    <w:basedOn w:val="Tabelanormal"/>
    <w:uiPriority w:val="66"/>
    <w:rsid w:val="008a1cfa"/>
    <w:tblPr>
      <w:tblStyleRowBandSize w:val="1"/>
      <w:tblStyleColBandSize w:val="1"/>
      <w:tblBorders>
        <w:top w:val="single" w:color="4472C4" w:sz="8" w:space="0"/>
        <w:left w:val="single" w:color="4472C4" w:sz="8" w:space="0"/>
        <w:bottom w:val="single" w:color="4472C4" w:sz="8" w:space="0"/>
        <w:right w:val="single" w:color="4472C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472C4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472C4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elaSimples4">
    <w:name w:val="Plain Table 4"/>
    <w:basedOn w:val="Tabelanormal"/>
    <w:uiPriority w:val="44"/>
    <w:rsid w:val="008a1cfa"/>
    <w:pPr>
      <w:jc w:val="both"/>
    </w:pPr>
    <w:rPr>
      <w:lang w:val="en-CA"/>
      <w:sz w:val="24"/>
    </w:rPr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Simples41">
    <w:name w:val="Tabela Simples 41"/>
    <w:basedOn w:val="Tabelanormal"/>
    <w:uiPriority w:val="44"/>
    <w:rsid w:val="008a1cfa"/>
    <w:pPr>
      <w:jc w:val="both"/>
    </w:pPr>
    <w:rPr>
      <w:lang w:val="en-CA"/>
      <w:sz w:val="24"/>
    </w:rPr>
    <w:tblPr>
      <w:tblStyleRowBandSize w:val="1"/>
      <w:tblStyleColBandSize w:val="1"/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ombreamentoClaro">
    <w:name w:val="Light Shading"/>
    <w:basedOn w:val="Tabelanormal"/>
    <w:uiPriority w:val="60"/>
    <w:rsid w:val="008a1cfa"/>
    <w:tblPr>
      <w:tblStyleRowBandSize w:val="1"/>
      <w:tblStyleColBandSize w:val="1"/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Simples21">
    <w:name w:val="Tabela Simples 21"/>
    <w:basedOn w:val="Tabelanormal"/>
    <w:uiPriority w:val="99"/>
    <w:rsid w:val="008a1cfa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<Relationship Id="rId26" Type="http://schemas.openxmlformats.org/officeDocument/2006/relationships/font" Target="fonts/font26.odttf"/><Relationship Id="rId27" Type="http://schemas.openxmlformats.org/officeDocument/2006/relationships/font" Target="fonts/font27.odttf"/><Relationship Id="rId28" Type="http://schemas.openxmlformats.org/officeDocument/2006/relationships/font" Target="fonts/font28.odttf"/><Relationship Id="rId29" Type="http://schemas.openxmlformats.org/officeDocument/2006/relationships/font" Target="fonts/font29.odttf"/><Relationship Id="rId30" Type="http://schemas.openxmlformats.org/officeDocument/2006/relationships/font" Target="fonts/font30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Relationship Id="rId5" Type="http://schemas.openxmlformats.org/officeDocument/2006/relationships/image" Target="media/image7.png"/><Relationship Id="rId6" Type="http://schemas.openxmlformats.org/officeDocument/2006/relationships/image" Target="media/image8.png"/><Relationship Id="rId7" Type="http://schemas.openxmlformats.org/officeDocument/2006/relationships/image" Target="media/image9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Relationship Id="rId4" Type="http://schemas.openxmlformats.org/officeDocument/2006/relationships/image" Target="media/image6.png"/><Relationship Id="rId5" Type="http://schemas.openxmlformats.org/officeDocument/2006/relationships/image" Target="media/image7.png"/><Relationship Id="rId6" Type="http://schemas.openxmlformats.org/officeDocument/2006/relationships/image" Target="media/image8.png"/><Relationship Id="rId7" Type="http://schemas.openxmlformats.org/officeDocument/2006/relationships/image" Target="media/image9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https://www.seer.ufal.br/index.php/nuspfamed/index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OgFqic3AXHn4viqRytv1x4gWYyA==">CgMxLjAaJAoBMBIfCh0IB0IZCgVBcmlhbBIQQXJpYWwgVW5pY29kZSBNUzIIaC5namRneHM4AHIhMWhIV0tiQnhyZllSWUIxdnkwb1ZsNS1wNThTY0VaNFBk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Application>LibreOffice/25.2.3.2$Windows_X86_64 LibreOffice_project/bbb074479178df812d175f709636b368952c2ce3</Application>
  <AppVersion>15.0000</AppVersion>
  <Pages>4</Pages>
  <Words>894</Words>
  <Characters>5197</Characters>
  <CharactersWithSpaces>6046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2023-04-10T18:01:00Z</dcterms:created>
  <dc:creator>Cirlene</dc:creator>
  <dc:description/>
  <dc:language>pt-BR</dc:language>
  <cp:lastModifiedBy/>
  <cp:lastPrinted>2025-06-05T23:31:30Z</cp:lastPrinted>
  <dcterms:modified xsi:type="dcterms:W3CDTF">2025-06-05T23:40:00Z</dcterms:modified>
  <cp:revision>156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